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bookmarkStart w:id="0" w:name="_GoBack"/>
      <w:bookmarkEnd w:id="0"/>
    </w:p>
    <w:tbl>
      <w:tblPr>
        <w:tblW w:w="8964" w:type="dxa"/>
        <w:tblLook w:val="0000" w:firstRow="0" w:lastRow="0" w:firstColumn="0" w:lastColumn="0" w:noHBand="0" w:noVBand="0"/>
      </w:tblPr>
      <w:tblGrid>
        <w:gridCol w:w="3456"/>
        <w:gridCol w:w="5472"/>
        <w:gridCol w:w="36"/>
      </w:tblGrid>
      <w:tr w:rsidR="00513FB9" w:rsidRPr="007D7E0B" w:rsidTr="00513FB9">
        <w:trPr>
          <w:gridAfter w:val="1"/>
          <w:wAfter w:w="36" w:type="dxa"/>
        </w:trPr>
        <w:tc>
          <w:tcPr>
            <w:tcW w:w="8928" w:type="dxa"/>
            <w:gridSpan w:val="2"/>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A27CEF"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513FB9">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513FB9">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B07025">
            <w:pPr>
              <w:pStyle w:val="Infotext"/>
              <w:rPr>
                <w:rFonts w:cs="Arial"/>
              </w:rPr>
            </w:pPr>
            <w:r>
              <w:rPr>
                <w:rFonts w:cs="Arial"/>
              </w:rPr>
              <w:t>22</w:t>
            </w:r>
            <w:r w:rsidRPr="00B07025">
              <w:rPr>
                <w:rFonts w:cs="Arial"/>
                <w:vertAlign w:val="superscript"/>
              </w:rPr>
              <w:t>nd</w:t>
            </w:r>
            <w:r>
              <w:rPr>
                <w:rFonts w:cs="Arial"/>
              </w:rPr>
              <w:t xml:space="preserve"> September 2020</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B07025">
            <w:pPr>
              <w:pStyle w:val="Infotext"/>
              <w:rPr>
                <w:rFonts w:cs="Arial"/>
              </w:rPr>
            </w:pPr>
            <w:r>
              <w:rPr>
                <w:rFonts w:cs="Arial"/>
                <w:color w:val="000000"/>
              </w:rPr>
              <w:t>Out of Hospital Plan [updated with Glossary]  and Implementation plan</w:t>
            </w:r>
          </w:p>
        </w:tc>
      </w:tr>
      <w:tr w:rsidR="002A2389" w:rsidTr="00513FB9">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ED694B" w:rsidRDefault="00ED694B" w:rsidP="00ED694B">
            <w:pPr>
              <w:rPr>
                <w:rFonts w:cs="Arial"/>
                <w:sz w:val="28"/>
              </w:rPr>
            </w:pPr>
            <w:r>
              <w:rPr>
                <w:rFonts w:cs="Arial"/>
                <w:sz w:val="28"/>
              </w:rPr>
              <w:t>Ms Javina Sehgal</w:t>
            </w:r>
          </w:p>
          <w:p w:rsidR="00ED694B" w:rsidRDefault="00ED694B" w:rsidP="00ED694B">
            <w:pPr>
              <w:rPr>
                <w:rFonts w:cs="Arial"/>
                <w:sz w:val="28"/>
              </w:rPr>
            </w:pPr>
            <w:r>
              <w:rPr>
                <w:rFonts w:cs="Arial"/>
                <w:sz w:val="28"/>
              </w:rPr>
              <w:t xml:space="preserve">Managing Director </w:t>
            </w:r>
          </w:p>
          <w:p w:rsidR="00ED694B" w:rsidRDefault="00ED694B" w:rsidP="00ED694B">
            <w:pPr>
              <w:rPr>
                <w:rFonts w:cs="Arial"/>
                <w:sz w:val="28"/>
              </w:rPr>
            </w:pPr>
            <w:r>
              <w:rPr>
                <w:rFonts w:cs="Arial"/>
                <w:sz w:val="28"/>
              </w:rPr>
              <w:t>NHS Harrow CCG</w:t>
            </w:r>
          </w:p>
          <w:p w:rsidR="007D56C8" w:rsidRDefault="007D56C8">
            <w:pPr>
              <w:pStyle w:val="Infotext"/>
              <w:rPr>
                <w:rFonts w:cs="Arial"/>
              </w:rPr>
            </w:pPr>
          </w:p>
        </w:tc>
      </w:tr>
      <w:tr w:rsidR="002A2389" w:rsidTr="00513FB9">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2"/>
          </w:tcPr>
          <w:p w:rsidR="00ED694B" w:rsidRDefault="002A2389" w:rsidP="00ED694B">
            <w:pPr>
              <w:pStyle w:val="Infotext"/>
              <w:rPr>
                <w:rFonts w:cs="Arial"/>
              </w:rPr>
            </w:pPr>
            <w:r>
              <w:rPr>
                <w:rFonts w:cs="Arial"/>
              </w:rPr>
              <w:t xml:space="preserve">Yes </w:t>
            </w:r>
          </w:p>
          <w:p w:rsidR="002A2389" w:rsidRDefault="002A2389">
            <w:pPr>
              <w:pStyle w:val="Infotext"/>
              <w:rPr>
                <w:rFonts w:cs="Arial"/>
              </w:rPr>
            </w:pPr>
          </w:p>
        </w:tc>
      </w:tr>
      <w:tr w:rsidR="00A51FAE" w:rsidTr="00513FB9">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2"/>
          </w:tcPr>
          <w:p w:rsidR="00A50388" w:rsidRPr="00A50388" w:rsidRDefault="00ED694B">
            <w:pPr>
              <w:pStyle w:val="Infotext"/>
              <w:rPr>
                <w:b/>
                <w:color w:val="FF0000"/>
              </w:rPr>
            </w:pPr>
            <w:r>
              <w:t>Harrow Borough</w:t>
            </w:r>
          </w:p>
        </w:tc>
      </w:tr>
      <w:tr w:rsidR="002A2389" w:rsidTr="00513FB9">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ED694B" w:rsidP="00C70683">
            <w:pPr>
              <w:pStyle w:val="Infotext"/>
              <w:numPr>
                <w:ilvl w:val="0"/>
                <w:numId w:val="15"/>
              </w:numPr>
            </w:pPr>
            <w:r>
              <w:t>Harrow Out of Hospital Recovery Plan</w:t>
            </w:r>
            <w:r w:rsidR="00C70683">
              <w:t xml:space="preserve"> v5</w:t>
            </w:r>
            <w:r>
              <w:t xml:space="preserve"> (updated with glossary)</w:t>
            </w:r>
          </w:p>
          <w:p w:rsidR="00ED694B" w:rsidRDefault="00C70683" w:rsidP="00C70683">
            <w:pPr>
              <w:pStyle w:val="Infotext"/>
              <w:numPr>
                <w:ilvl w:val="0"/>
                <w:numId w:val="15"/>
              </w:numPr>
            </w:pPr>
            <w:r>
              <w:t>Recovery Plan Implementation August Summary (HWB09.20)</w:t>
            </w:r>
          </w:p>
          <w:p w:rsidR="00EA6DF6" w:rsidRDefault="00EA6DF6" w:rsidP="00EA6DF6">
            <w:pPr>
              <w:pStyle w:val="Infotext"/>
              <w:numPr>
                <w:ilvl w:val="0"/>
                <w:numId w:val="15"/>
              </w:numPr>
            </w:pPr>
            <w:r w:rsidRPr="00EA6DF6">
              <w:t>NWL ICS OOH Plan on a page</w:t>
            </w:r>
          </w:p>
        </w:tc>
      </w:tr>
    </w:tbl>
    <w:p w:rsidR="002A2389" w:rsidRDefault="002A2389">
      <w:pPr>
        <w:rPr>
          <w:rFonts w:cs="Arial"/>
        </w:rPr>
      </w:pPr>
    </w:p>
    <w:p w:rsidR="002A2389" w:rsidRDefault="002A2389">
      <w:pPr>
        <w:rPr>
          <w:rFonts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675FCB">
        <w:tc>
          <w:tcPr>
            <w:tcW w:w="8897"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897" w:type="dxa"/>
          </w:tcPr>
          <w:p w:rsidR="00740910" w:rsidRPr="00322BEA" w:rsidRDefault="00740910" w:rsidP="00740910">
            <w:r w:rsidRPr="00CF48F5">
              <w:t xml:space="preserve">This report sets out </w:t>
            </w:r>
            <w:r w:rsidRPr="00322BEA">
              <w:t xml:space="preserve">to inform the Board on the latest position in the </w:t>
            </w:r>
            <w:r>
              <w:t xml:space="preserve">implementation of the </w:t>
            </w:r>
            <w:r w:rsidRPr="00322BEA">
              <w:t xml:space="preserve">Harrow </w:t>
            </w:r>
            <w:r>
              <w:t>Out-of-Hospital Recovery Plan</w:t>
            </w:r>
            <w:r w:rsidR="000E7EB6">
              <w:t xml:space="preserve"> and also includes the plan now updated with a glossary</w:t>
            </w:r>
            <w:r w:rsidR="00EA6DF6">
              <w:t>, and a summary of the North West London Out-of-Hospital Plan</w:t>
            </w:r>
            <w:r w:rsidRPr="00322BEA">
              <w:t>.</w:t>
            </w:r>
            <w:r>
              <w:t xml:space="preserve"> </w:t>
            </w:r>
          </w:p>
          <w:p w:rsidR="00740910" w:rsidRPr="00322BEA" w:rsidRDefault="00740910" w:rsidP="00740910"/>
          <w:p w:rsidR="00740910" w:rsidRDefault="00385D30" w:rsidP="00740910">
            <w:r>
              <w:t xml:space="preserve">This report is delivered by </w:t>
            </w:r>
            <w:r w:rsidR="00740910" w:rsidRPr="0029252C">
              <w:t>Javina Sehgal, Harrow CCG MD</w:t>
            </w:r>
            <w:r w:rsidR="000E7EB6">
              <w:t xml:space="preserve"> and </w:t>
            </w:r>
            <w:r>
              <w:t>joint chair of the Harrow Health and Care Executive, and Ayo Adekoya, Harrow Integrated Care Programme Manager</w:t>
            </w:r>
            <w:r w:rsidR="00740910" w:rsidRPr="0029252C">
              <w:t xml:space="preserve">. </w:t>
            </w:r>
          </w:p>
          <w:p w:rsidR="00740910" w:rsidRDefault="00740910" w:rsidP="00740910"/>
          <w:p w:rsidR="002A2389" w:rsidRDefault="002A2389">
            <w:pPr>
              <w:pStyle w:val="Heading2"/>
            </w:pPr>
            <w:r>
              <w:t xml:space="preserve">Recommendations: </w:t>
            </w:r>
          </w:p>
          <w:p w:rsidR="002A2389" w:rsidRDefault="00740910">
            <w:r>
              <w:t>For Information only</w:t>
            </w:r>
            <w:r w:rsidR="00A50388">
              <w:t xml:space="preserve">  </w:t>
            </w:r>
          </w:p>
          <w:p w:rsidR="002A2389" w:rsidRDefault="002A2389">
            <w:pPr>
              <w:jc w:val="both"/>
              <w:rPr>
                <w:rFonts w:cs="Arial"/>
              </w:rPr>
            </w:pPr>
          </w:p>
        </w:tc>
      </w:tr>
    </w:tbl>
    <w:p w:rsidR="00FF71E5" w:rsidRDefault="00FF71E5">
      <w:pPr>
        <w:pStyle w:val="Heading1"/>
        <w:jc w:val="both"/>
        <w:sectPr w:rsidR="00FF71E5" w:rsidSect="00513FB9">
          <w:pgSz w:w="11909" w:h="16834" w:code="9"/>
          <w:pgMar w:top="864"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pPr>
        <w:pStyle w:val="Heading2"/>
        <w:rPr>
          <w:color w:val="0000FF"/>
        </w:rPr>
      </w:pPr>
    </w:p>
    <w:p w:rsidR="00007713" w:rsidRDefault="00FA777A" w:rsidP="00E232AE">
      <w:pPr>
        <w:rPr>
          <w:iCs/>
        </w:rPr>
      </w:pPr>
      <w:r>
        <w:rPr>
          <w:iCs/>
        </w:rPr>
        <w:t xml:space="preserve">Following the last briefing given to the board, the Harrow Health and Care Executive (HHaCE) was formed and </w:t>
      </w:r>
      <w:r w:rsidR="00007713">
        <w:rPr>
          <w:iCs/>
        </w:rPr>
        <w:t xml:space="preserve">was </w:t>
      </w:r>
      <w:r>
        <w:rPr>
          <w:iCs/>
        </w:rPr>
        <w:t xml:space="preserve">mandated by the </w:t>
      </w:r>
      <w:r w:rsidR="00007713">
        <w:rPr>
          <w:iCs/>
        </w:rPr>
        <w:t xml:space="preserve">Integrated Care </w:t>
      </w:r>
      <w:r>
        <w:rPr>
          <w:iCs/>
        </w:rPr>
        <w:t xml:space="preserve">Joint Management Board as </w:t>
      </w:r>
      <w:r w:rsidR="00CD7C76">
        <w:rPr>
          <w:iCs/>
        </w:rPr>
        <w:t>the</w:t>
      </w:r>
      <w:r>
        <w:rPr>
          <w:iCs/>
        </w:rPr>
        <w:t xml:space="preserve"> </w:t>
      </w:r>
      <w:r w:rsidR="00CD7C76">
        <w:rPr>
          <w:iCs/>
        </w:rPr>
        <w:t xml:space="preserve">partnership </w:t>
      </w:r>
      <w:r>
        <w:rPr>
          <w:iCs/>
        </w:rPr>
        <w:t xml:space="preserve">executive responsible for delivering integrated care in Harrow. </w:t>
      </w:r>
    </w:p>
    <w:p w:rsidR="00007713" w:rsidRDefault="00007713" w:rsidP="00E232AE">
      <w:pPr>
        <w:rPr>
          <w:iCs/>
        </w:rPr>
      </w:pPr>
    </w:p>
    <w:p w:rsidR="00007713" w:rsidRDefault="00007713" w:rsidP="00E232AE">
      <w:pPr>
        <w:rPr>
          <w:iCs/>
        </w:rPr>
      </w:pPr>
      <w:r>
        <w:rPr>
          <w:iCs/>
        </w:rPr>
        <w:t>Due to the Covid pandemic, the</w:t>
      </w:r>
      <w:r w:rsidR="00FA777A">
        <w:rPr>
          <w:iCs/>
        </w:rPr>
        <w:t xml:space="preserve"> </w:t>
      </w:r>
      <w:r>
        <w:rPr>
          <w:iCs/>
        </w:rPr>
        <w:t>i</w:t>
      </w:r>
      <w:r w:rsidR="00FA777A">
        <w:rPr>
          <w:iCs/>
        </w:rPr>
        <w:t xml:space="preserve">ntegrated </w:t>
      </w:r>
      <w:r>
        <w:rPr>
          <w:iCs/>
        </w:rPr>
        <w:t>c</w:t>
      </w:r>
      <w:r w:rsidR="00FA777A">
        <w:rPr>
          <w:iCs/>
        </w:rPr>
        <w:t xml:space="preserve">are </w:t>
      </w:r>
      <w:r>
        <w:rPr>
          <w:iCs/>
        </w:rPr>
        <w:t>p</w:t>
      </w:r>
      <w:r w:rsidR="00FA777A">
        <w:rPr>
          <w:iCs/>
        </w:rPr>
        <w:t>rogramme was put on hold</w:t>
      </w:r>
      <w:r>
        <w:rPr>
          <w:iCs/>
        </w:rPr>
        <w:t xml:space="preserve"> between March and May,</w:t>
      </w:r>
      <w:r w:rsidR="00FA777A">
        <w:rPr>
          <w:iCs/>
        </w:rPr>
        <w:t xml:space="preserve"> to allow health and care partners to respond to the pandemic. The HHaCE </w:t>
      </w:r>
      <w:r>
        <w:rPr>
          <w:iCs/>
        </w:rPr>
        <w:t xml:space="preserve">continued to </w:t>
      </w:r>
      <w:r w:rsidR="00FA777A">
        <w:rPr>
          <w:iCs/>
        </w:rPr>
        <w:t xml:space="preserve">meet on a weekly basis and became the decision-making </w:t>
      </w:r>
      <w:r w:rsidR="00CD7C76">
        <w:rPr>
          <w:iCs/>
        </w:rPr>
        <w:t>group</w:t>
      </w:r>
      <w:r w:rsidR="00FA777A">
        <w:rPr>
          <w:iCs/>
        </w:rPr>
        <w:t xml:space="preserve"> for Harrow’s system response. </w:t>
      </w:r>
    </w:p>
    <w:p w:rsidR="00007713" w:rsidRDefault="00007713" w:rsidP="00E232AE">
      <w:pPr>
        <w:rPr>
          <w:iCs/>
        </w:rPr>
      </w:pPr>
    </w:p>
    <w:p w:rsidR="00E232AE" w:rsidRDefault="00385D30" w:rsidP="00E232AE">
      <w:pPr>
        <w:rPr>
          <w:iCs/>
        </w:rPr>
      </w:pPr>
      <w:r>
        <w:rPr>
          <w:iCs/>
        </w:rPr>
        <w:t xml:space="preserve">In June 2020, Harrow health and care partners </w:t>
      </w:r>
      <w:r w:rsidR="00007713">
        <w:rPr>
          <w:iCs/>
        </w:rPr>
        <w:t>worked together to develop</w:t>
      </w:r>
      <w:r>
        <w:rPr>
          <w:iCs/>
        </w:rPr>
        <w:t xml:space="preserve"> an Out-of-Hospital Recovery Plan with support from PPL (external leadership support)</w:t>
      </w:r>
      <w:r w:rsidR="00007713">
        <w:rPr>
          <w:iCs/>
        </w:rPr>
        <w:t xml:space="preserve">. </w:t>
      </w:r>
      <w:r w:rsidR="00CD7C76">
        <w:rPr>
          <w:iCs/>
        </w:rPr>
        <w:t xml:space="preserve">PPL developed a 100-day plan to </w:t>
      </w:r>
      <w:r w:rsidR="00347CD6">
        <w:rPr>
          <w:iCs/>
        </w:rPr>
        <w:t>enable the set-up of the mechanisms to facilitate delivery,</w:t>
      </w:r>
      <w:r w:rsidR="00CD7C76">
        <w:rPr>
          <w:iCs/>
        </w:rPr>
        <w:t xml:space="preserve"> and t</w:t>
      </w:r>
      <w:r w:rsidR="00007713">
        <w:rPr>
          <w:iCs/>
        </w:rPr>
        <w:t xml:space="preserve">he </w:t>
      </w:r>
      <w:r w:rsidR="00CD7C76">
        <w:rPr>
          <w:iCs/>
        </w:rPr>
        <w:t xml:space="preserve">Integrated Care Joint Management Board mandated the </w:t>
      </w:r>
      <w:r w:rsidR="00007713">
        <w:rPr>
          <w:iCs/>
        </w:rPr>
        <w:t xml:space="preserve">HHaCE </w:t>
      </w:r>
      <w:r w:rsidR="00CD7C76">
        <w:rPr>
          <w:iCs/>
        </w:rPr>
        <w:t>with the delivery the plan. The HHaCE c</w:t>
      </w:r>
      <w:r w:rsidR="00007713">
        <w:rPr>
          <w:iCs/>
        </w:rPr>
        <w:t>ontinues to meet weekly</w:t>
      </w:r>
      <w:r w:rsidR="00CD7C76">
        <w:rPr>
          <w:iCs/>
        </w:rPr>
        <w:t xml:space="preserve"> to ensure progress. Senior responsible officers from across the partnership and CCG management leads and clinical directors have been appointed to lead all the workstreams identified. The workstreams have started to meet regularly and have developed Terms of Reference and workplans.  </w:t>
      </w:r>
    </w:p>
    <w:p w:rsidR="00CD7C76" w:rsidRDefault="00CD7C76" w:rsidP="00E232AE">
      <w:pPr>
        <w:rPr>
          <w:iCs/>
        </w:rPr>
      </w:pPr>
    </w:p>
    <w:p w:rsidR="00DF6BCD" w:rsidRDefault="00CD7C76" w:rsidP="00E232AE">
      <w:pPr>
        <w:rPr>
          <w:iCs/>
        </w:rPr>
      </w:pPr>
      <w:r>
        <w:rPr>
          <w:iCs/>
        </w:rPr>
        <w:t>The enclosed</w:t>
      </w:r>
      <w:r w:rsidR="00DF6BCD">
        <w:rPr>
          <w:iCs/>
        </w:rPr>
        <w:t xml:space="preserve"> </w:t>
      </w:r>
      <w:r w:rsidR="00DF6BCD" w:rsidRPr="00DF6BCD">
        <w:rPr>
          <w:i/>
          <w:iCs/>
        </w:rPr>
        <w:t>Harrow Out of Hospital Recovery Plan v5</w:t>
      </w:r>
      <w:r w:rsidR="00DF6BCD">
        <w:rPr>
          <w:iCs/>
        </w:rPr>
        <w:t xml:space="preserve"> is an updated version, now including a glossary.</w:t>
      </w:r>
    </w:p>
    <w:p w:rsidR="00DF6BCD" w:rsidRDefault="00DF6BCD" w:rsidP="00E232AE">
      <w:pPr>
        <w:rPr>
          <w:iCs/>
        </w:rPr>
      </w:pPr>
    </w:p>
    <w:p w:rsidR="00CD7C76" w:rsidRDefault="00DF6BCD" w:rsidP="00E232AE">
      <w:pPr>
        <w:rPr>
          <w:iCs/>
        </w:rPr>
      </w:pPr>
      <w:r>
        <w:rPr>
          <w:iCs/>
        </w:rPr>
        <w:t>The enclosed</w:t>
      </w:r>
      <w:r w:rsidR="00CD7C76">
        <w:rPr>
          <w:iCs/>
        </w:rPr>
        <w:t xml:space="preserve"> </w:t>
      </w:r>
      <w:r w:rsidR="00CD7C76" w:rsidRPr="00CD7C76">
        <w:rPr>
          <w:i/>
          <w:iCs/>
        </w:rPr>
        <w:t>Recovery Plan Implementation August Summary</w:t>
      </w:r>
      <w:r w:rsidR="00CD7C76">
        <w:rPr>
          <w:iCs/>
        </w:rPr>
        <w:t xml:space="preserve"> highlights progress to date with the </w:t>
      </w:r>
      <w:r>
        <w:rPr>
          <w:iCs/>
        </w:rPr>
        <w:t>planning and implementation of the Out-of-Hospital Recovery Plan.</w:t>
      </w:r>
    </w:p>
    <w:p w:rsidR="00D42D34" w:rsidRDefault="00D42D34" w:rsidP="00E232AE">
      <w:pPr>
        <w:rPr>
          <w:iCs/>
        </w:rPr>
      </w:pPr>
    </w:p>
    <w:p w:rsidR="00D42D34" w:rsidRPr="00D42D34" w:rsidRDefault="00D42D34" w:rsidP="00D42D34">
      <w:pPr>
        <w:pStyle w:val="Default"/>
      </w:pPr>
      <w:r>
        <w:rPr>
          <w:iCs/>
        </w:rPr>
        <w:t xml:space="preserve">The enclosed </w:t>
      </w:r>
      <w:r w:rsidRPr="00D42D34">
        <w:rPr>
          <w:i/>
        </w:rPr>
        <w:t>NWL ICS OOH Plan on a page</w:t>
      </w:r>
      <w:r>
        <w:t xml:space="preserve"> highlights the p</w:t>
      </w:r>
      <w:r w:rsidRPr="00D42D34">
        <w:rPr>
          <w:color w:val="auto"/>
        </w:rPr>
        <w:t xml:space="preserve">riorities for the </w:t>
      </w:r>
      <w:r>
        <w:rPr>
          <w:color w:val="auto"/>
        </w:rPr>
        <w:t>North West London (NWL) Out-of-Hospital</w:t>
      </w:r>
      <w:r w:rsidRPr="00D42D34">
        <w:rPr>
          <w:color w:val="auto"/>
        </w:rPr>
        <w:t xml:space="preserve"> </w:t>
      </w:r>
      <w:r>
        <w:rPr>
          <w:color w:val="auto"/>
        </w:rPr>
        <w:t xml:space="preserve">(OOH) </w:t>
      </w:r>
      <w:r w:rsidRPr="00D42D34">
        <w:rPr>
          <w:color w:val="auto"/>
        </w:rPr>
        <w:t xml:space="preserve">Recovery Plan, </w:t>
      </w:r>
      <w:r>
        <w:rPr>
          <w:color w:val="auto"/>
        </w:rPr>
        <w:t xml:space="preserve">which will be </w:t>
      </w:r>
      <w:r w:rsidRPr="00D42D34">
        <w:rPr>
          <w:color w:val="auto"/>
        </w:rPr>
        <w:t xml:space="preserve">delivered through </w:t>
      </w:r>
      <w:r>
        <w:rPr>
          <w:color w:val="auto"/>
        </w:rPr>
        <w:t>the</w:t>
      </w:r>
      <w:r w:rsidRPr="00D42D34">
        <w:rPr>
          <w:color w:val="auto"/>
        </w:rPr>
        <w:t xml:space="preserve"> I</w:t>
      </w:r>
      <w:r>
        <w:rPr>
          <w:color w:val="auto"/>
        </w:rPr>
        <w:t xml:space="preserve">ntegrated </w:t>
      </w:r>
      <w:r w:rsidRPr="00D42D34">
        <w:rPr>
          <w:color w:val="auto"/>
        </w:rPr>
        <w:t>C</w:t>
      </w:r>
      <w:r>
        <w:rPr>
          <w:color w:val="auto"/>
        </w:rPr>
        <w:t xml:space="preserve">are </w:t>
      </w:r>
      <w:r w:rsidRPr="00D42D34">
        <w:rPr>
          <w:color w:val="auto"/>
        </w:rPr>
        <w:t>S</w:t>
      </w:r>
      <w:r>
        <w:rPr>
          <w:color w:val="auto"/>
        </w:rPr>
        <w:t>ystem</w:t>
      </w:r>
      <w:r w:rsidRPr="00D42D34">
        <w:rPr>
          <w:color w:val="auto"/>
        </w:rPr>
        <w:t xml:space="preserve"> </w:t>
      </w:r>
      <w:r>
        <w:rPr>
          <w:color w:val="auto"/>
        </w:rPr>
        <w:t xml:space="preserve">(ICS) </w:t>
      </w:r>
      <w:r w:rsidRPr="00D42D34">
        <w:rPr>
          <w:color w:val="auto"/>
        </w:rPr>
        <w:t xml:space="preserve">framework </w:t>
      </w:r>
      <w:r>
        <w:rPr>
          <w:color w:val="auto"/>
        </w:rPr>
        <w:t xml:space="preserve">with </w:t>
      </w:r>
      <w:r w:rsidRPr="00D42D34">
        <w:rPr>
          <w:color w:val="auto"/>
        </w:rPr>
        <w:t xml:space="preserve">a focus on </w:t>
      </w:r>
      <w:r>
        <w:rPr>
          <w:color w:val="auto"/>
        </w:rPr>
        <w:t>i</w:t>
      </w:r>
      <w:r w:rsidRPr="00D42D34">
        <w:rPr>
          <w:color w:val="auto"/>
        </w:rPr>
        <w:t>ntegrated care</w:t>
      </w:r>
      <w:r>
        <w:rPr>
          <w:color w:val="auto"/>
        </w:rPr>
        <w:t xml:space="preserve">. The Harrow plan takes into account all the priorities highlighted in this plan. </w:t>
      </w:r>
    </w:p>
    <w:p w:rsidR="002A2389" w:rsidRDefault="002A2389">
      <w:pPr>
        <w:rPr>
          <w:color w:val="0000FF"/>
        </w:rPr>
      </w:pPr>
    </w:p>
    <w:p w:rsidR="00A50388" w:rsidRPr="00A50388" w:rsidRDefault="00A50388" w:rsidP="00A50388">
      <w:pPr>
        <w:rPr>
          <w:rFonts w:ascii="Arial Bold" w:hAnsi="Arial Bold"/>
          <w:b/>
          <w:sz w:val="28"/>
        </w:rPr>
      </w:pPr>
      <w:r w:rsidRPr="00A50388">
        <w:rPr>
          <w:rFonts w:ascii="Arial Bold" w:hAnsi="Arial Bold"/>
          <w:b/>
          <w:sz w:val="28"/>
        </w:rPr>
        <w:t xml:space="preserve">Ward Councillors’ comments </w:t>
      </w:r>
    </w:p>
    <w:p w:rsidR="00A50388" w:rsidRDefault="00A50388">
      <w:pPr>
        <w:rPr>
          <w:color w:val="0000FF"/>
        </w:rPr>
      </w:pPr>
    </w:p>
    <w:p w:rsidR="00A50388" w:rsidRDefault="00A50388">
      <w:pPr>
        <w:rPr>
          <w:color w:val="0000FF"/>
        </w:rPr>
      </w:pPr>
    </w:p>
    <w:p w:rsidR="002A2389" w:rsidRDefault="002A2389">
      <w:pPr>
        <w:pStyle w:val="Heading2"/>
      </w:pPr>
      <w:r>
        <w:t>Financial Implications</w:t>
      </w:r>
      <w:r w:rsidR="00BE1C78">
        <w:t xml:space="preserve">/Comments </w:t>
      </w:r>
    </w:p>
    <w:p w:rsidR="00BE1C78" w:rsidRDefault="00BE1C78" w:rsidP="00BE1C78"/>
    <w:p w:rsidR="00E232AE" w:rsidRDefault="00E232AE" w:rsidP="00E232AE">
      <w:r>
        <w:t>Plan to work within the existing financial envelope.</w:t>
      </w:r>
    </w:p>
    <w:p w:rsidR="001417FD" w:rsidRDefault="001417FD"/>
    <w:p w:rsidR="001417FD" w:rsidRDefault="001417FD">
      <w:pPr>
        <w:rPr>
          <w:b/>
          <w:sz w:val="28"/>
          <w:szCs w:val="28"/>
        </w:rPr>
      </w:pPr>
      <w:r w:rsidRPr="001417FD">
        <w:rPr>
          <w:b/>
          <w:sz w:val="28"/>
          <w:szCs w:val="28"/>
        </w:rPr>
        <w:t xml:space="preserve">Legal Implications/Comments </w:t>
      </w:r>
    </w:p>
    <w:p w:rsidR="00E232AE" w:rsidRDefault="00E232AE">
      <w:pPr>
        <w:rPr>
          <w:szCs w:val="24"/>
        </w:rPr>
      </w:pPr>
    </w:p>
    <w:p w:rsidR="001417FD" w:rsidRPr="00E232AE" w:rsidRDefault="00E232AE">
      <w:pPr>
        <w:rPr>
          <w:szCs w:val="24"/>
        </w:rPr>
      </w:pPr>
      <w:r w:rsidRPr="00E232AE">
        <w:rPr>
          <w:szCs w:val="24"/>
        </w:rPr>
        <w:t>None.</w:t>
      </w:r>
    </w:p>
    <w:p w:rsidR="00E232AE" w:rsidRDefault="00E232AE"/>
    <w:p w:rsidR="00C32DAE" w:rsidRDefault="00C32DAE" w:rsidP="00E02B50">
      <w:pPr>
        <w:pStyle w:val="Heading2"/>
      </w:pPr>
      <w:r>
        <w:t>Risk Management Implications</w:t>
      </w:r>
    </w:p>
    <w:p w:rsidR="00E232AE" w:rsidRDefault="00E232AE" w:rsidP="00E232AE">
      <w:pPr>
        <w:ind w:right="141"/>
        <w:rPr>
          <w:rFonts w:cs="Arial"/>
          <w:szCs w:val="24"/>
          <w:lang w:val="en-US" w:eastAsia="en-GB"/>
        </w:rPr>
      </w:pPr>
      <w:r>
        <w:rPr>
          <w:rFonts w:cs="Arial"/>
          <w:szCs w:val="24"/>
          <w:lang w:val="en-US" w:eastAsia="en-GB"/>
        </w:rPr>
        <w:t xml:space="preserve">A recovery plan implementation risk log is currently being developed by the partnership as risks arise through the workstreams. Programme level risks are also being identified under the themes of finance, subsidiarity and </w:t>
      </w:r>
      <w:r>
        <w:rPr>
          <w:rFonts w:cs="Arial"/>
          <w:szCs w:val="24"/>
          <w:lang w:val="en-US" w:eastAsia="en-GB"/>
        </w:rPr>
        <w:lastRenderedPageBreak/>
        <w:t xml:space="preserve">resources. These will also be added to the risk log and monitored by the Harrow Health and Care Executive. </w:t>
      </w:r>
    </w:p>
    <w:p w:rsidR="00080819" w:rsidRPr="00DD4251" w:rsidRDefault="00080819" w:rsidP="00DD4251">
      <w:pPr>
        <w:ind w:right="141"/>
        <w:rPr>
          <w:rFonts w:cs="Arial"/>
          <w:szCs w:val="24"/>
          <w:lang w:val="en-US" w:eastAsia="en-GB"/>
        </w:rPr>
      </w:pPr>
    </w:p>
    <w:p w:rsidR="00FD31A0" w:rsidRPr="00A50388" w:rsidRDefault="00A50388" w:rsidP="00FD31A0">
      <w:pPr>
        <w:pStyle w:val="Heading2"/>
        <w:keepNext/>
        <w:rPr>
          <w:color w:val="FF0000"/>
        </w:rPr>
      </w:pPr>
      <w:r w:rsidRPr="004A2543">
        <w:t>Equalities implications</w:t>
      </w:r>
      <w:r>
        <w:t xml:space="preserve"> </w:t>
      </w:r>
      <w:r w:rsidRPr="00333FAA">
        <w:t>/</w:t>
      </w:r>
      <w:r>
        <w:t xml:space="preserve"> </w:t>
      </w:r>
      <w:r w:rsidRPr="00333FAA">
        <w:t>Public Sector Equality Duty</w:t>
      </w:r>
    </w:p>
    <w:p w:rsidR="00E232AE" w:rsidRDefault="00E232AE" w:rsidP="00E232AE">
      <w:pPr>
        <w:ind w:right="141"/>
        <w:jc w:val="both"/>
        <w:rPr>
          <w:rFonts w:cs="Arial"/>
          <w:szCs w:val="24"/>
          <w:lang w:val="en-US"/>
        </w:rPr>
      </w:pPr>
      <w:r>
        <w:t>For the Integrated Care Partnership, clinical leads are attached to the programme, and quality impact assessments undertaken.</w:t>
      </w:r>
    </w:p>
    <w:p w:rsidR="00A50388" w:rsidRDefault="00A50388" w:rsidP="00C32DAE">
      <w:pPr>
        <w:ind w:right="141"/>
        <w:rPr>
          <w:rFonts w:cs="Arial"/>
          <w:szCs w:val="24"/>
          <w:lang w:val="en-US"/>
        </w:rPr>
      </w:pPr>
    </w:p>
    <w:p w:rsidR="00E232AE" w:rsidRDefault="00E232AE" w:rsidP="00C32DAE">
      <w:pPr>
        <w:ind w:right="141"/>
        <w:rPr>
          <w:rFonts w:cs="Arial"/>
          <w:szCs w:val="24"/>
          <w:lang w:val="en-US"/>
        </w:rPr>
      </w:pPr>
    </w:p>
    <w:p w:rsidR="00BF6C06" w:rsidRPr="00CD57D8" w:rsidRDefault="005874F0" w:rsidP="00BF6C06">
      <w:pPr>
        <w:pStyle w:val="Heading2"/>
      </w:pPr>
      <w:r>
        <w:t>Council</w:t>
      </w:r>
      <w:r w:rsidR="00D34145">
        <w:t xml:space="preserve"> </w:t>
      </w:r>
      <w:r w:rsidR="00BF6C06" w:rsidRPr="00CD57D8">
        <w:t>Priorities</w:t>
      </w:r>
    </w:p>
    <w:p w:rsidR="00BF6C06" w:rsidRPr="00E232AE" w:rsidRDefault="00E232AE" w:rsidP="00BF6C06">
      <w:pPr>
        <w:keepNext/>
        <w:ind w:right="144"/>
        <w:rPr>
          <w:rFonts w:cs="Arial"/>
          <w:b/>
          <w:szCs w:val="24"/>
          <w:lang w:val="en-US"/>
        </w:rPr>
      </w:pPr>
      <w:r w:rsidRPr="00E232AE">
        <w:rPr>
          <w:rFonts w:cs="Arial"/>
          <w:b/>
          <w:szCs w:val="24"/>
          <w:lang w:val="en-US"/>
        </w:rPr>
        <w:t>N/A – report is for information only</w:t>
      </w:r>
    </w:p>
    <w:p w:rsidR="00E232AE" w:rsidRDefault="00E232AE" w:rsidP="00BF6C06">
      <w:pPr>
        <w:keepNext/>
        <w:ind w:right="144"/>
        <w:rPr>
          <w:rFonts w:cs="Arial"/>
          <w:szCs w:val="24"/>
          <w:lang w:val="en-US"/>
        </w:rPr>
      </w:pPr>
    </w:p>
    <w:p w:rsidR="000110EA" w:rsidRDefault="000110EA" w:rsidP="00BF6C06">
      <w:pPr>
        <w:keepNext/>
        <w:ind w:right="144"/>
        <w:rPr>
          <w:rFonts w:cs="Arial"/>
          <w:szCs w:val="24"/>
          <w:lang w:val="en-US"/>
        </w:rPr>
      </w:pPr>
      <w:r>
        <w:rPr>
          <w:rFonts w:cs="Arial"/>
          <w:szCs w:val="24"/>
          <w:lang w:val="en-US"/>
        </w:rPr>
        <w:t>Please identify how the decision sought delivers these priorities.</w:t>
      </w:r>
    </w:p>
    <w:p w:rsidR="000110EA" w:rsidRPr="00CD57D8" w:rsidRDefault="000110EA" w:rsidP="00BF6C06">
      <w:pPr>
        <w:keepNext/>
        <w:ind w:right="144"/>
        <w:rPr>
          <w:rFonts w:cs="Arial"/>
          <w:szCs w:val="24"/>
          <w:lang w:val="en-US"/>
        </w:rPr>
      </w:pPr>
    </w:p>
    <w:p w:rsidR="00E66F12" w:rsidRPr="00D0381E" w:rsidRDefault="00E66F12" w:rsidP="00E66F12">
      <w:pPr>
        <w:pStyle w:val="ListParagraph"/>
        <w:numPr>
          <w:ilvl w:val="0"/>
          <w:numId w:val="8"/>
        </w:numPr>
        <w:autoSpaceDE w:val="0"/>
        <w:autoSpaceDN w:val="0"/>
        <w:contextualSpacing/>
        <w:rPr>
          <w:b/>
          <w:bCs/>
        </w:rPr>
      </w:pPr>
      <w:r w:rsidRPr="00D0381E">
        <w:rPr>
          <w:b/>
        </w:rPr>
        <w:t>Improving the environment and addressing climate change</w:t>
      </w:r>
    </w:p>
    <w:p w:rsidR="00E66F12" w:rsidRDefault="00E66F12" w:rsidP="00E66F12">
      <w:pPr>
        <w:autoSpaceDE w:val="0"/>
        <w:autoSpaceDN w:val="0"/>
        <w:rPr>
          <w:b/>
          <w:bCs/>
        </w:rPr>
      </w:pPr>
    </w:p>
    <w:p w:rsidR="00E66F12" w:rsidRPr="00D0381E" w:rsidRDefault="00E66F12" w:rsidP="00E66F12">
      <w:pPr>
        <w:pStyle w:val="ListParagraph"/>
        <w:numPr>
          <w:ilvl w:val="0"/>
          <w:numId w:val="8"/>
        </w:numPr>
        <w:autoSpaceDE w:val="0"/>
        <w:autoSpaceDN w:val="0"/>
        <w:contextualSpacing/>
        <w:rPr>
          <w:b/>
          <w:bCs/>
        </w:rPr>
      </w:pPr>
      <w:r w:rsidRPr="00D0381E">
        <w:rPr>
          <w:b/>
        </w:rPr>
        <w:t>Tackling poverty and inequality</w:t>
      </w:r>
    </w:p>
    <w:p w:rsidR="00E66F12" w:rsidRDefault="00E66F12" w:rsidP="00E66F12">
      <w:pPr>
        <w:autoSpaceDE w:val="0"/>
        <w:autoSpaceDN w:val="0"/>
        <w:rPr>
          <w:b/>
          <w:bCs/>
        </w:rPr>
      </w:pPr>
    </w:p>
    <w:p w:rsidR="00E66F12" w:rsidRPr="00D0381E" w:rsidRDefault="00E66F12" w:rsidP="00E66F12">
      <w:pPr>
        <w:pStyle w:val="ListParagraph"/>
        <w:numPr>
          <w:ilvl w:val="0"/>
          <w:numId w:val="8"/>
        </w:numPr>
        <w:autoSpaceDE w:val="0"/>
        <w:autoSpaceDN w:val="0"/>
        <w:contextualSpacing/>
        <w:rPr>
          <w:b/>
          <w:bCs/>
        </w:rPr>
      </w:pPr>
      <w:r w:rsidRPr="00D0381E">
        <w:rPr>
          <w:b/>
        </w:rPr>
        <w:t>Building homes and infrastructure</w:t>
      </w:r>
    </w:p>
    <w:p w:rsidR="00E66F12" w:rsidRDefault="00E66F12" w:rsidP="00E66F12">
      <w:pPr>
        <w:autoSpaceDE w:val="0"/>
        <w:autoSpaceDN w:val="0"/>
      </w:pPr>
    </w:p>
    <w:p w:rsidR="00E66F12" w:rsidRPr="00D0381E" w:rsidRDefault="00E66F12" w:rsidP="00E66F12">
      <w:pPr>
        <w:pStyle w:val="ListParagraph"/>
        <w:numPr>
          <w:ilvl w:val="0"/>
          <w:numId w:val="8"/>
        </w:numPr>
        <w:autoSpaceDE w:val="0"/>
        <w:autoSpaceDN w:val="0"/>
        <w:contextualSpacing/>
        <w:rPr>
          <w:b/>
        </w:rPr>
      </w:pPr>
      <w:r w:rsidRPr="00D0381E">
        <w:rPr>
          <w:b/>
        </w:rPr>
        <w:t>Addressing health and social care inequality</w:t>
      </w:r>
    </w:p>
    <w:p w:rsidR="00E66F12" w:rsidRDefault="00E66F12" w:rsidP="00E66F12">
      <w:pPr>
        <w:autoSpaceDE w:val="0"/>
        <w:autoSpaceDN w:val="0"/>
      </w:pPr>
    </w:p>
    <w:p w:rsidR="00E66F12" w:rsidRPr="00D0381E" w:rsidRDefault="00E66F12" w:rsidP="00E66F12">
      <w:pPr>
        <w:pStyle w:val="ListParagraph"/>
        <w:numPr>
          <w:ilvl w:val="0"/>
          <w:numId w:val="8"/>
        </w:numPr>
        <w:autoSpaceDE w:val="0"/>
        <w:autoSpaceDN w:val="0"/>
        <w:contextualSpacing/>
        <w:rPr>
          <w:b/>
        </w:rPr>
      </w:pPr>
      <w:r w:rsidRPr="00D0381E">
        <w:rPr>
          <w:b/>
        </w:rPr>
        <w:t>Thriving economy</w:t>
      </w:r>
    </w:p>
    <w:p w:rsidR="00A50388" w:rsidRPr="00F22C98" w:rsidRDefault="00A50388" w:rsidP="00A50388"/>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r w:rsidR="00BE1C78">
        <w:t xml:space="preserve"> </w:t>
      </w:r>
      <w:r w:rsidR="001417FD">
        <w:t>(Council and Joint Reports)</w:t>
      </w:r>
    </w:p>
    <w:p w:rsidR="00D1109B" w:rsidRPr="00C817CB" w:rsidRDefault="00D1109B" w:rsidP="00D1109B">
      <w:pPr>
        <w:keepNext/>
        <w:rPr>
          <w:rFonts w:ascii="Arial Black" w:hAnsi="Arial Black" w:cs="Arial"/>
          <w:color w:val="0000FF"/>
          <w:szCs w:val="24"/>
        </w:rPr>
      </w:pPr>
      <w:r w:rsidRPr="00C817CB">
        <w:rPr>
          <w:rFonts w:ascii="Arial Black" w:hAnsi="Arial Black"/>
          <w:color w:val="0000FF"/>
          <w:szCs w:val="24"/>
        </w:rPr>
        <w:t xml:space="preserve">[Note:  If the report is for </w:t>
      </w:r>
      <w:r w:rsidRPr="00C817CB">
        <w:rPr>
          <w:rFonts w:ascii="Arial Black" w:hAnsi="Arial Black"/>
          <w:color w:val="0000FF"/>
          <w:szCs w:val="24"/>
          <w:u w:val="single"/>
        </w:rPr>
        <w:t>information only</w:t>
      </w:r>
      <w:r w:rsidRPr="00C817CB">
        <w:rPr>
          <w:rFonts w:ascii="Arial Black" w:hAnsi="Arial Black"/>
          <w:color w:val="0000FF"/>
          <w:szCs w:val="24"/>
        </w:rPr>
        <w:t>, it is the author’s responsibility to decide whether legal and</w:t>
      </w:r>
      <w:r>
        <w:rPr>
          <w:rFonts w:ascii="Arial Black" w:hAnsi="Arial Black"/>
          <w:color w:val="0000FF"/>
          <w:szCs w:val="24"/>
        </w:rPr>
        <w:t xml:space="preserve"> </w:t>
      </w:r>
      <w:r w:rsidRPr="00C817CB">
        <w:rPr>
          <w:rFonts w:ascii="Arial Black" w:hAnsi="Arial Black"/>
          <w:color w:val="0000FF"/>
          <w:szCs w:val="24"/>
        </w:rPr>
        <w:t>/</w:t>
      </w:r>
      <w:r>
        <w:rPr>
          <w:rFonts w:ascii="Arial Black" w:hAnsi="Arial Black"/>
          <w:color w:val="0000FF"/>
          <w:szCs w:val="24"/>
        </w:rPr>
        <w:t xml:space="preserve"> </w:t>
      </w:r>
      <w:r w:rsidRPr="00C817CB">
        <w:rPr>
          <w:rFonts w:ascii="Arial Black" w:hAnsi="Arial Black"/>
          <w:color w:val="0000FF"/>
          <w:szCs w:val="24"/>
        </w:rPr>
        <w:t>or financial</w:t>
      </w:r>
      <w:r>
        <w:rPr>
          <w:rFonts w:ascii="Arial Black" w:hAnsi="Arial Black"/>
          <w:color w:val="0000FF"/>
          <w:szCs w:val="24"/>
        </w:rPr>
        <w:t xml:space="preserve"> / Corporate Director</w:t>
      </w:r>
      <w:r w:rsidRPr="00C817CB">
        <w:rPr>
          <w:rFonts w:ascii="Arial Black" w:hAnsi="Arial Black"/>
          <w:color w:val="0000FF"/>
          <w:szCs w:val="24"/>
        </w:rPr>
        <w:t xml:space="preserve"> clearances are necessary.  If not, the report can be submitted without these consents.]</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1"/>
        <w:gridCol w:w="235"/>
        <w:gridCol w:w="235"/>
        <w:gridCol w:w="3294"/>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r>
              <w:t>on behalf of the*</w:t>
            </w:r>
          </w:p>
        </w:tc>
      </w:tr>
      <w:tr w:rsidR="002A2389">
        <w:tc>
          <w:tcPr>
            <w:tcW w:w="2791" w:type="pct"/>
            <w:tcBorders>
              <w:top w:val="nil"/>
              <w:bottom w:val="nil"/>
            </w:tcBorders>
          </w:tcPr>
          <w:p w:rsidR="002A2389" w:rsidRDefault="002A2389" w:rsidP="00C171C8">
            <w:pPr>
              <w:pStyle w:val="Infotext"/>
            </w:pPr>
            <w:r>
              <w:t>Name:</w:t>
            </w:r>
            <w:r w:rsidR="00C171C8">
              <w:t xml:space="preserve">  </w:t>
            </w:r>
          </w:p>
        </w:tc>
        <w:tc>
          <w:tcPr>
            <w:tcW w:w="138" w:type="pct"/>
            <w:tcBorders>
              <w:bottom w:val="single" w:sz="4" w:space="0" w:color="auto"/>
            </w:tcBorders>
          </w:tcPr>
          <w:p w:rsidR="002A2389" w:rsidRDefault="002A2389">
            <w:pPr>
              <w:pStyle w:val="Infotext"/>
            </w:pP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C171C8">
            <w:pPr>
              <w:pStyle w:val="Infotext"/>
            </w:pPr>
            <w:r>
              <w:t xml:space="preserve">Date: </w:t>
            </w:r>
            <w:r w:rsidR="00C171C8">
              <w:t xml:space="preserve"> </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r>
              <w:t>on behalf of the*</w:t>
            </w:r>
          </w:p>
        </w:tc>
      </w:tr>
      <w:tr w:rsidR="002A2389">
        <w:tc>
          <w:tcPr>
            <w:tcW w:w="2791" w:type="pct"/>
            <w:tcBorders>
              <w:top w:val="nil"/>
              <w:bottom w:val="nil"/>
            </w:tcBorders>
          </w:tcPr>
          <w:p w:rsidR="002A2389" w:rsidRDefault="002A2389" w:rsidP="00C171C8">
            <w:pPr>
              <w:pStyle w:val="Infotext"/>
            </w:pPr>
            <w:r>
              <w:t xml:space="preserve">Name: </w:t>
            </w:r>
            <w:r w:rsidR="00C171C8">
              <w:t xml:space="preserve"> </w:t>
            </w:r>
          </w:p>
        </w:tc>
        <w:tc>
          <w:tcPr>
            <w:tcW w:w="138" w:type="pct"/>
            <w:tcBorders>
              <w:bottom w:val="single" w:sz="4" w:space="0" w:color="auto"/>
            </w:tcBorders>
          </w:tcPr>
          <w:p w:rsidR="002A2389" w:rsidRDefault="002A2389">
            <w:pPr>
              <w:pStyle w:val="Infotext"/>
            </w:pP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C171C8">
            <w:pPr>
              <w:pStyle w:val="Infotext"/>
            </w:pPr>
            <w:r>
              <w:t xml:space="preserve">Date: </w:t>
            </w:r>
            <w:r w:rsidR="00C171C8">
              <w:t xml:space="preserve"> </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rPr>
          <w:szCs w:val="24"/>
        </w:rPr>
      </w:pPr>
    </w:p>
    <w:p w:rsidR="00A51FAE" w:rsidRDefault="00A51FAE">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68"/>
        <w:gridCol w:w="234"/>
        <w:gridCol w:w="3606"/>
      </w:tblGrid>
      <w:tr w:rsidR="00080819" w:rsidTr="00FF30F2">
        <w:tc>
          <w:tcPr>
            <w:tcW w:w="4752" w:type="dxa"/>
            <w:tcBorders>
              <w:bottom w:val="nil"/>
              <w:right w:val="nil"/>
            </w:tcBorders>
          </w:tcPr>
          <w:p w:rsidR="00080819" w:rsidRDefault="00080819" w:rsidP="00FF30F2">
            <w:pPr>
              <w:pStyle w:val="Infotext"/>
            </w:pPr>
          </w:p>
          <w:p w:rsidR="00080819" w:rsidRDefault="00080819" w:rsidP="00FF30F2">
            <w:pPr>
              <w:pStyle w:val="Infotext"/>
            </w:pPr>
          </w:p>
        </w:tc>
        <w:tc>
          <w:tcPr>
            <w:tcW w:w="387" w:type="dxa"/>
            <w:tcBorders>
              <w:left w:val="nil"/>
              <w:right w:val="nil"/>
            </w:tcBorders>
          </w:tcPr>
          <w:p w:rsidR="00080819" w:rsidRDefault="00080819" w:rsidP="00FF30F2">
            <w:pPr>
              <w:pStyle w:val="Infotext"/>
            </w:pPr>
          </w:p>
        </w:tc>
        <w:tc>
          <w:tcPr>
            <w:tcW w:w="236" w:type="dxa"/>
            <w:tcBorders>
              <w:left w:val="nil"/>
              <w:bottom w:val="nil"/>
              <w:right w:val="nil"/>
            </w:tcBorders>
          </w:tcPr>
          <w:p w:rsidR="00080819" w:rsidRDefault="00080819" w:rsidP="00FF30F2">
            <w:pPr>
              <w:pStyle w:val="Infotext"/>
            </w:pPr>
          </w:p>
        </w:tc>
        <w:tc>
          <w:tcPr>
            <w:tcW w:w="3890" w:type="dxa"/>
            <w:tcBorders>
              <w:left w:val="nil"/>
              <w:bottom w:val="nil"/>
            </w:tcBorders>
          </w:tcPr>
          <w:p w:rsidR="00080819" w:rsidRDefault="00080819" w:rsidP="00FF30F2">
            <w:pPr>
              <w:pStyle w:val="Infotext"/>
            </w:pPr>
          </w:p>
          <w:p w:rsidR="00080819" w:rsidRDefault="00080819" w:rsidP="00FF30F2">
            <w:pPr>
              <w:pStyle w:val="Infotext"/>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p>
        </w:tc>
        <w:tc>
          <w:tcPr>
            <w:tcW w:w="387" w:type="dxa"/>
            <w:tcBorders>
              <w:bottom w:val="single" w:sz="4" w:space="0" w:color="auto"/>
            </w:tcBorders>
          </w:tcPr>
          <w:p w:rsidR="00080819" w:rsidRDefault="00080819" w:rsidP="00FF30F2">
            <w:pPr>
              <w:pStyle w:val="Infotext"/>
            </w:pP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lastRenderedPageBreak/>
              <w:t xml:space="preserve"> </w:t>
            </w:r>
          </w:p>
          <w:p w:rsidR="00080819" w:rsidRDefault="00080819" w:rsidP="00C171C8">
            <w:pPr>
              <w:pStyle w:val="Infotext"/>
            </w:pPr>
            <w:r>
              <w:t xml:space="preserve">Date: </w:t>
            </w:r>
            <w:r w:rsidR="00C171C8">
              <w:t xml:space="preserve"> </w:t>
            </w:r>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080819" w:rsidP="00FF30F2">
            <w:pPr>
              <w:pStyle w:val="Infotext"/>
            </w:pPr>
          </w:p>
        </w:tc>
      </w:tr>
    </w:tbl>
    <w:p w:rsidR="00080819" w:rsidRDefault="00080819">
      <w:pPr>
        <w:rPr>
          <w:szCs w:val="24"/>
        </w:rPr>
      </w:pPr>
    </w:p>
    <w:p w:rsidR="00080819" w:rsidRDefault="00080819">
      <w:pPr>
        <w:rPr>
          <w:szCs w:val="24"/>
        </w:rPr>
      </w:pPr>
    </w:p>
    <w:p w:rsidR="00A51FAE" w:rsidRDefault="00A51FAE">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0388" w:rsidP="004213D7">
            <w:pPr>
              <w:pStyle w:val="Infotext"/>
              <w:rPr>
                <w:b/>
                <w:color w:val="FF0000"/>
              </w:rPr>
            </w:pPr>
            <w:r w:rsidRPr="00A50388">
              <w:rPr>
                <w:b/>
                <w:color w:val="FF0000"/>
              </w:rPr>
              <w:t>MANDATORY</w:t>
            </w: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YES/ NO </w:t>
            </w:r>
          </w:p>
          <w:p w:rsidR="00A51FAE" w:rsidRDefault="00A51FAE" w:rsidP="004213D7">
            <w:pPr>
              <w:pStyle w:val="Infotext"/>
              <w:rPr>
                <w:i/>
                <w:sz w:val="24"/>
                <w:szCs w:val="24"/>
              </w:rPr>
            </w:pPr>
            <w:r w:rsidRPr="003D78F6">
              <w:rPr>
                <w:i/>
                <w:sz w:val="24"/>
                <w:szCs w:val="24"/>
              </w:rPr>
              <w:t>*  Delete as appropriate</w:t>
            </w:r>
            <w:r>
              <w:rPr>
                <w:i/>
                <w:sz w:val="24"/>
                <w:szCs w:val="24"/>
              </w:rPr>
              <w:t xml:space="preserve">. </w:t>
            </w:r>
          </w:p>
          <w:p w:rsidR="00A51FAE" w:rsidRPr="003D78F6" w:rsidRDefault="00A51FAE" w:rsidP="004213D7">
            <w:pPr>
              <w:pStyle w:val="Infotext"/>
              <w:ind w:left="173"/>
              <w:rPr>
                <w:i/>
                <w:sz w:val="24"/>
                <w:szCs w:val="24"/>
              </w:rPr>
            </w:pPr>
          </w:p>
        </w:tc>
      </w:tr>
    </w:tbl>
    <w:p w:rsidR="00A51FAE" w:rsidRPr="00A51FAE" w:rsidRDefault="00A51FAE">
      <w:pPr>
        <w:rPr>
          <w:szCs w:val="24"/>
        </w:rPr>
      </w:pPr>
    </w:p>
    <w:p w:rsidR="00EE0325" w:rsidRPr="00A51FAE" w:rsidRDefault="00EE0325" w:rsidP="008D1750">
      <w:pPr>
        <w:pStyle w:val="Heading1"/>
        <w:keepNext/>
        <w:rPr>
          <w:rFonts w:ascii="Arial" w:hAnsi="Arial"/>
          <w:sz w:val="24"/>
          <w:szCs w:val="24"/>
        </w:rPr>
      </w:pPr>
    </w:p>
    <w:p w:rsidR="00A51FAE" w:rsidRPr="00A51FAE" w:rsidRDefault="00A51FAE" w:rsidP="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A2389" w:rsidRDefault="002A2389">
      <w:pPr>
        <w:pStyle w:val="Infotext"/>
      </w:pPr>
      <w:r w:rsidRPr="00D914D2">
        <w:rPr>
          <w:b/>
        </w:rPr>
        <w:t>Contact:</w:t>
      </w:r>
      <w:r>
        <w:t xml:space="preserve">  </w:t>
      </w:r>
      <w:r>
        <w:rPr>
          <w:rFonts w:cs="Arial"/>
          <w:sz w:val="24"/>
        </w:rPr>
        <w:t>Report Author’s name, Job Title, direct telephone number</w:t>
      </w:r>
    </w:p>
    <w:p w:rsidR="002A2389" w:rsidRDefault="002A2389"/>
    <w:p w:rsidR="002A2389" w:rsidRDefault="002A2389"/>
    <w:p w:rsidR="002A2389" w:rsidRDefault="002A2389">
      <w:pPr>
        <w:pStyle w:val="Infotext"/>
      </w:pPr>
      <w:r w:rsidRPr="00D914D2">
        <w:rPr>
          <w:b/>
        </w:rPr>
        <w:t>Background Papers</w:t>
      </w:r>
      <w:r>
        <w:t xml:space="preserve">:  </w:t>
      </w:r>
      <w:r>
        <w:rPr>
          <w:rFonts w:cs="Arial"/>
          <w:sz w:val="24"/>
        </w:rPr>
        <w:t xml:space="preserve">List </w:t>
      </w:r>
      <w:r w:rsidRPr="00BE1C78">
        <w:rPr>
          <w:rFonts w:cs="Arial"/>
          <w:bCs/>
          <w:sz w:val="24"/>
        </w:rPr>
        <w:t>only</w:t>
      </w:r>
      <w:r>
        <w:rPr>
          <w:rFonts w:cs="Arial"/>
          <w:b/>
          <w:bCs/>
          <w:sz w:val="24"/>
        </w:rPr>
        <w:t xml:space="preserve"> </w:t>
      </w:r>
      <w:r w:rsidR="00BE1C78">
        <w:rPr>
          <w:rFonts w:cs="Arial"/>
          <w:b/>
          <w:bCs/>
          <w:sz w:val="24"/>
        </w:rPr>
        <w:t>public</w:t>
      </w:r>
      <w:r>
        <w:rPr>
          <w:rFonts w:cs="Arial"/>
          <w:sz w:val="24"/>
        </w:rPr>
        <w:t xml:space="preserve"> documents (ie not Private and Confidential/Part II documents) relied on to a material extent in preparing the report (eg previous reports).  Where possible also include a web link to the documents.</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F2" w:rsidRDefault="00FF30F2">
      <w:r>
        <w:separator/>
      </w:r>
    </w:p>
  </w:endnote>
  <w:endnote w:type="continuationSeparator" w:id="0">
    <w:p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F2" w:rsidRDefault="00FF30F2">
      <w:r>
        <w:separator/>
      </w:r>
    </w:p>
  </w:footnote>
  <w:footnote w:type="continuationSeparator" w:id="0">
    <w:p w:rsidR="00FF30F2" w:rsidRDefault="00FF3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240093"/>
    <w:multiLevelType w:val="hybridMultilevel"/>
    <w:tmpl w:val="62DC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293E1E"/>
    <w:multiLevelType w:val="hybridMultilevel"/>
    <w:tmpl w:val="9E3AC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1754FB"/>
    <w:multiLevelType w:val="hybridMultilevel"/>
    <w:tmpl w:val="6F4641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991F9C"/>
    <w:multiLevelType w:val="hybridMultilevel"/>
    <w:tmpl w:val="BFC21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E96066"/>
    <w:multiLevelType w:val="hybridMultilevel"/>
    <w:tmpl w:val="0E60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722CED"/>
    <w:multiLevelType w:val="hybridMultilevel"/>
    <w:tmpl w:val="783032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3"/>
  </w:num>
  <w:num w:numId="10">
    <w:abstractNumId w:val="18"/>
  </w:num>
  <w:num w:numId="11">
    <w:abstractNumId w:val="12"/>
  </w:num>
  <w:num w:numId="12">
    <w:abstractNumId w:val="2"/>
  </w:num>
  <w:num w:numId="13">
    <w:abstractNumId w:val="5"/>
  </w:num>
  <w:num w:numId="14">
    <w:abstractNumId w:val="0"/>
  </w:num>
  <w:num w:numId="15">
    <w:abstractNumId w:val="8"/>
  </w:num>
  <w:num w:numId="16">
    <w:abstractNumId w:val="17"/>
  </w:num>
  <w:num w:numId="17">
    <w:abstractNumId w:val="10"/>
  </w:num>
  <w:num w:numId="18">
    <w:abstractNumId w:val="4"/>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07713"/>
    <w:rsid w:val="000110EA"/>
    <w:rsid w:val="00057F10"/>
    <w:rsid w:val="00071EB4"/>
    <w:rsid w:val="00077298"/>
    <w:rsid w:val="00080819"/>
    <w:rsid w:val="000B6DBB"/>
    <w:rsid w:val="000D2BF2"/>
    <w:rsid w:val="000E7EB6"/>
    <w:rsid w:val="000F65C0"/>
    <w:rsid w:val="00105305"/>
    <w:rsid w:val="00122491"/>
    <w:rsid w:val="001417FD"/>
    <w:rsid w:val="001939BA"/>
    <w:rsid w:val="001C5225"/>
    <w:rsid w:val="001E0219"/>
    <w:rsid w:val="001F341E"/>
    <w:rsid w:val="00231A1D"/>
    <w:rsid w:val="00296F20"/>
    <w:rsid w:val="002A2389"/>
    <w:rsid w:val="002C08E2"/>
    <w:rsid w:val="002C1794"/>
    <w:rsid w:val="002E77E3"/>
    <w:rsid w:val="003115B3"/>
    <w:rsid w:val="00347CD6"/>
    <w:rsid w:val="00385D30"/>
    <w:rsid w:val="003B6B15"/>
    <w:rsid w:val="003C0B16"/>
    <w:rsid w:val="004213D7"/>
    <w:rsid w:val="0042394B"/>
    <w:rsid w:val="00473B08"/>
    <w:rsid w:val="00474B5F"/>
    <w:rsid w:val="004B2C9D"/>
    <w:rsid w:val="004C2D29"/>
    <w:rsid w:val="004D5D86"/>
    <w:rsid w:val="004E667D"/>
    <w:rsid w:val="004E6AF9"/>
    <w:rsid w:val="00513FB9"/>
    <w:rsid w:val="005861B4"/>
    <w:rsid w:val="005874F0"/>
    <w:rsid w:val="005D4ADF"/>
    <w:rsid w:val="005E384D"/>
    <w:rsid w:val="005F2181"/>
    <w:rsid w:val="005F724B"/>
    <w:rsid w:val="0063072B"/>
    <w:rsid w:val="006465F6"/>
    <w:rsid w:val="00662891"/>
    <w:rsid w:val="00675FCB"/>
    <w:rsid w:val="006C3914"/>
    <w:rsid w:val="006D2C51"/>
    <w:rsid w:val="00740910"/>
    <w:rsid w:val="0074184E"/>
    <w:rsid w:val="00755F8D"/>
    <w:rsid w:val="00796503"/>
    <w:rsid w:val="007D56C8"/>
    <w:rsid w:val="007E7303"/>
    <w:rsid w:val="007F4BFD"/>
    <w:rsid w:val="007F7B2F"/>
    <w:rsid w:val="00803162"/>
    <w:rsid w:val="008136B1"/>
    <w:rsid w:val="008A3D25"/>
    <w:rsid w:val="008D1750"/>
    <w:rsid w:val="008E4913"/>
    <w:rsid w:val="008F4594"/>
    <w:rsid w:val="00900464"/>
    <w:rsid w:val="0090100E"/>
    <w:rsid w:val="0093767E"/>
    <w:rsid w:val="00972A02"/>
    <w:rsid w:val="0099517C"/>
    <w:rsid w:val="009B2ECD"/>
    <w:rsid w:val="009B7914"/>
    <w:rsid w:val="00A27CEF"/>
    <w:rsid w:val="00A50388"/>
    <w:rsid w:val="00A51FAE"/>
    <w:rsid w:val="00A566E7"/>
    <w:rsid w:val="00A613C1"/>
    <w:rsid w:val="00A76A21"/>
    <w:rsid w:val="00A940D3"/>
    <w:rsid w:val="00A96FCA"/>
    <w:rsid w:val="00AA4BE8"/>
    <w:rsid w:val="00AC7BA9"/>
    <w:rsid w:val="00B0425E"/>
    <w:rsid w:val="00B07025"/>
    <w:rsid w:val="00B92AA6"/>
    <w:rsid w:val="00B9498A"/>
    <w:rsid w:val="00BD684A"/>
    <w:rsid w:val="00BE1C78"/>
    <w:rsid w:val="00BF6C06"/>
    <w:rsid w:val="00C171C8"/>
    <w:rsid w:val="00C32DAE"/>
    <w:rsid w:val="00C40E24"/>
    <w:rsid w:val="00C623DA"/>
    <w:rsid w:val="00C70683"/>
    <w:rsid w:val="00C82CEC"/>
    <w:rsid w:val="00C96EF5"/>
    <w:rsid w:val="00CD7C76"/>
    <w:rsid w:val="00D1109B"/>
    <w:rsid w:val="00D32B51"/>
    <w:rsid w:val="00D34145"/>
    <w:rsid w:val="00D34668"/>
    <w:rsid w:val="00D3740E"/>
    <w:rsid w:val="00D42D34"/>
    <w:rsid w:val="00D82F57"/>
    <w:rsid w:val="00D841A5"/>
    <w:rsid w:val="00D914D2"/>
    <w:rsid w:val="00DA25DB"/>
    <w:rsid w:val="00DB39E5"/>
    <w:rsid w:val="00DD4251"/>
    <w:rsid w:val="00DF48BB"/>
    <w:rsid w:val="00DF6BCD"/>
    <w:rsid w:val="00E02B50"/>
    <w:rsid w:val="00E03F11"/>
    <w:rsid w:val="00E06DC8"/>
    <w:rsid w:val="00E220B5"/>
    <w:rsid w:val="00E232AE"/>
    <w:rsid w:val="00E66F12"/>
    <w:rsid w:val="00EA6242"/>
    <w:rsid w:val="00EA6DF6"/>
    <w:rsid w:val="00ED694B"/>
    <w:rsid w:val="00EE0325"/>
    <w:rsid w:val="00F37C8A"/>
    <w:rsid w:val="00F4213B"/>
    <w:rsid w:val="00F66DED"/>
    <w:rsid w:val="00F849ED"/>
    <w:rsid w:val="00F92398"/>
    <w:rsid w:val="00FA777A"/>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Default">
    <w:name w:val="Default"/>
    <w:rsid w:val="00D42D3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 w:type="paragraph" w:customStyle="1" w:styleId="Default">
    <w:name w:val="Default"/>
    <w:rsid w:val="00D42D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692</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4708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MChellah</cp:lastModifiedBy>
  <cp:revision>4</cp:revision>
  <cp:lastPrinted>2007-07-12T09:53:00Z</cp:lastPrinted>
  <dcterms:created xsi:type="dcterms:W3CDTF">2020-09-16T11:04:00Z</dcterms:created>
  <dcterms:modified xsi:type="dcterms:W3CDTF">2020-09-17T08:11:00Z</dcterms:modified>
</cp:coreProperties>
</file>